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7AA84E" w14:textId="202CCD7B" w:rsidR="00E54288" w:rsidRDefault="00FE44F8" w:rsidP="0005317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Емтихан с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ұрақтары.</w:t>
      </w:r>
    </w:p>
    <w:p w14:paraId="30BB212F" w14:textId="4F5BA7D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Жаңашылдық - фирмалардың бәсекелестік басымшылығының негізгі факторы ретінде;</w:t>
      </w:r>
    </w:p>
    <w:p w14:paraId="69D3FA05" w14:textId="66D7497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 және инновациялық үрдіс;</w:t>
      </w:r>
    </w:p>
    <w:p w14:paraId="147E232F" w14:textId="1490BC0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үрдістің түрлері;</w:t>
      </w:r>
    </w:p>
    <w:p w14:paraId="36E34B8C" w14:textId="61804A6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қызметтің субъектілері;</w:t>
      </w:r>
    </w:p>
    <w:p w14:paraId="75BE7CEF" w14:textId="7679CF4C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Инновацияның классификациясы;</w:t>
      </w:r>
    </w:p>
    <w:p w14:paraId="5344435B" w14:textId="60987B50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 қызметінің саласы ескерумен классификациясы;</w:t>
      </w:r>
    </w:p>
    <w:p w14:paraId="7CD8D4B8" w14:textId="1D07F59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 пайдалану сипатына қарай классификациясы;</w:t>
      </w:r>
    </w:p>
    <w:p w14:paraId="3ED16132" w14:textId="7BDA2F7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Ұйымның иерархиялық деңгейі бойынша инновациялардың классификациясы;</w:t>
      </w:r>
    </w:p>
    <w:p w14:paraId="39BA391C" w14:textId="4607AFE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идеялардың көздері;</w:t>
      </w:r>
    </w:p>
    <w:p w14:paraId="382DB2C7" w14:textId="134E961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Ұйымның инновациялық потенциалын бағалау;</w:t>
      </w:r>
    </w:p>
    <w:p w14:paraId="5CC71B67" w14:textId="7EED390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 жүргізудің орындылығын бағалау;</w:t>
      </w:r>
    </w:p>
    <w:p w14:paraId="26BDC7E3" w14:textId="4971DBAA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Инновацияның өмірлік циклы;</w:t>
      </w:r>
    </w:p>
    <w:p w14:paraId="59AA1AC4" w14:textId="0DA55642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қызметтің үш нарығы;</w:t>
      </w:r>
    </w:p>
    <w:p w14:paraId="22C35254" w14:textId="75B6693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Зияткерлік өнім нарығы (инвенциялар мен жаңалықтар);</w:t>
      </w:r>
    </w:p>
    <w:p w14:paraId="65BE13A9" w14:textId="6C32C2C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Нарық инновациясы;</w:t>
      </w:r>
    </w:p>
    <w:p w14:paraId="0A19231B" w14:textId="5E4585A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Капитал нарығы (инвестициялар);</w:t>
      </w:r>
    </w:p>
    <w:p w14:paraId="0506AC9C" w14:textId="7EE2FF76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қызметтегі мемлекеттік саясат;</w:t>
      </w:r>
    </w:p>
    <w:p w14:paraId="07198B10" w14:textId="42B4ABEB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инфрақұрылым;</w:t>
      </w:r>
    </w:p>
    <w:p w14:paraId="5B6629BF" w14:textId="25A59C63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Инкубаторлар;</w:t>
      </w:r>
    </w:p>
    <w:p w14:paraId="6C6E9100" w14:textId="502119E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Технопарктер;</w:t>
      </w:r>
    </w:p>
    <w:p w14:paraId="4DE44A12" w14:textId="50DB1129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Технополистер;</w:t>
      </w:r>
    </w:p>
    <w:p w14:paraId="49FA73D9" w14:textId="4FB4EF9F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Ақапараттық-технологиялық жүйелер;</w:t>
      </w:r>
    </w:p>
    <w:p w14:paraId="65030A4B" w14:textId="069395AC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Инновациялық инфрақұрылым элементтерінің интеграциялануы;</w:t>
      </w:r>
    </w:p>
    <w:p w14:paraId="0F5A835D" w14:textId="1E0D298D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Жекеменшік жүйесіндегі зияткерлік жекеменшік;</w:t>
      </w:r>
    </w:p>
    <w:p w14:paraId="1E6E522A" w14:textId="3A60298D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Авторлық құқық;</w:t>
      </w:r>
    </w:p>
    <w:p w14:paraId="4C1EB59A" w14:textId="037C7348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Сабақтас құқықтар;</w:t>
      </w:r>
    </w:p>
    <w:p w14:paraId="50287830" w14:textId="1BCEA6F1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Өнертабыс, пайдалы үлгі, өнеркәсіптік үлгі құқығы;</w:t>
      </w:r>
      <w:r w:rsidRPr="00053170">
        <w:rPr>
          <w:rFonts w:ascii="Times New Roman" w:hAnsi="Times New Roman" w:cs="Times New Roman"/>
          <w:sz w:val="28"/>
          <w:szCs w:val="28"/>
        </w:rPr>
        <w:tab/>
      </w:r>
    </w:p>
    <w:p w14:paraId="41FE1C5F" w14:textId="55910A94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Ашылмаған ақпаратты заңсыз қолданудан қорғау құқығы;</w:t>
      </w:r>
      <w:r w:rsidRPr="00053170">
        <w:rPr>
          <w:rFonts w:ascii="Times New Roman" w:hAnsi="Times New Roman" w:cs="Times New Roman"/>
          <w:sz w:val="28"/>
          <w:szCs w:val="28"/>
        </w:rPr>
        <w:tab/>
      </w:r>
    </w:p>
    <w:p w14:paraId="4C934A11" w14:textId="5BD102D5" w:rsidR="00053170" w:rsidRP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 xml:space="preserve">Азаматтық айналым қатысушыларын, тауарлар мен қызметтерді </w:t>
      </w:r>
    </w:p>
    <w:p w14:paraId="498D5B0C" w14:textId="77777777" w:rsidR="00053170" w:rsidRPr="00E16EA4" w:rsidRDefault="00053170" w:rsidP="00053170">
      <w:pPr>
        <w:rPr>
          <w:rFonts w:ascii="Times New Roman" w:hAnsi="Times New Roman" w:cs="Times New Roman"/>
          <w:sz w:val="28"/>
          <w:szCs w:val="28"/>
        </w:rPr>
      </w:pPr>
      <w:r w:rsidRPr="00E16EA4">
        <w:rPr>
          <w:rFonts w:ascii="Times New Roman" w:hAnsi="Times New Roman" w:cs="Times New Roman"/>
          <w:sz w:val="28"/>
          <w:szCs w:val="28"/>
        </w:rPr>
        <w:t>жекелеу құралдары;</w:t>
      </w:r>
    </w:p>
    <w:p w14:paraId="1CC61C3F" w14:textId="24060434" w:rsidR="00053170" w:rsidRDefault="00053170" w:rsidP="000531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53170">
        <w:rPr>
          <w:rFonts w:ascii="Times New Roman" w:hAnsi="Times New Roman" w:cs="Times New Roman"/>
          <w:sz w:val="28"/>
          <w:szCs w:val="28"/>
        </w:rPr>
        <w:t>Фирмалық атау;</w:t>
      </w:r>
    </w:p>
    <w:p w14:paraId="0228BAF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Тауарлық белгі;</w:t>
      </w:r>
    </w:p>
    <w:p w14:paraId="3E5EF74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Тауардың шығарылған жерінің атауы;</w:t>
      </w:r>
    </w:p>
    <w:p w14:paraId="7268036B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 xml:space="preserve"> Коммерциялық құпия;</w:t>
      </w:r>
    </w:p>
    <w:p w14:paraId="1C4F679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 деген не және оны қорғау заңнамалық актілері;</w:t>
      </w:r>
    </w:p>
    <w:p w14:paraId="171DF072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Коммерцялық құпияны қорғау;</w:t>
      </w:r>
    </w:p>
    <w:p w14:paraId="328FE6EC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Коммерциялық құпияны бұзған жауапкершілік;</w:t>
      </w:r>
    </w:p>
    <w:p w14:paraId="2BF0FD3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lastRenderedPageBreak/>
        <w:t>Кәсіпкерге коммерциялық құпияны қорғау;</w:t>
      </w:r>
    </w:p>
    <w:p w14:paraId="40989176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«KNOW HOW» (НОУ-ХАУ) туралы негізгі ұғымдар;</w:t>
      </w:r>
    </w:p>
    <w:p w14:paraId="088823F2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Заңсыз бәсекелестік және ноу-хау туралы келісімдер;</w:t>
      </w:r>
    </w:p>
    <w:p w14:paraId="120AC6D9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Ноу-хауды анықтау;</w:t>
      </w:r>
    </w:p>
    <w:p w14:paraId="0B7EDF19" w14:textId="5B402C02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құпиялар. Мемлекеттік құпиялар туралы заңнаманың дамуы;</w:t>
      </w:r>
    </w:p>
    <w:p w14:paraId="714817A3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 ұғымы;</w:t>
      </w:r>
    </w:p>
    <w:p w14:paraId="5A197B6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құпияларға жататын мәліметтер;</w:t>
      </w:r>
    </w:p>
    <w:p w14:paraId="52AB92C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Мәліметтерді құпиялау және құпияны ашу тәртібі;</w:t>
      </w:r>
    </w:p>
    <w:p w14:paraId="7B1CDE64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 болып табылатын мәліметтерді қолдану;</w:t>
      </w:r>
    </w:p>
    <w:p w14:paraId="38ED7A03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Мемлекеттік құпияға рұқсат беру салдары. Мемлекеттік құпияларды қорғау органдары;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7563702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келісім. Лицензиялық келісімдердің түрлері;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6219D26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Патентті, патентсіз және кешенді лицензиялар;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18C64A5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Лицензиялық келісім шарттарының мазмұны. Лицензялық төлемдер;</w:t>
      </w:r>
    </w:p>
    <w:p w14:paraId="580289AC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Тауарлық белгіні беру. Лицензиялық төлемдер;</w:t>
      </w:r>
    </w:p>
    <w:p w14:paraId="67738B4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Кешенді кәсіпкерлік лицензия (франчайзинг);</w:t>
      </w:r>
    </w:p>
    <w:p w14:paraId="0400EC46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жекеменшікті қорғау саласындағы халықаралық ынтымақтастық;</w:t>
      </w:r>
    </w:p>
    <w:p w14:paraId="4810B037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Конвенцияны қабылдаудың артықшылығы. Париж конвенциясы;</w:t>
      </w:r>
    </w:p>
    <w:p w14:paraId="4B01CCA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өнертабыстар. Париж конвенциясының негізгі тұжырымдамалары;</w:t>
      </w:r>
    </w:p>
    <w:p w14:paraId="31CC7FAE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өнертабыстар;</w:t>
      </w:r>
    </w:p>
    <w:p w14:paraId="124F246F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Конвенция мен тауарлық белгілер. Конвенция және әділетсіз бәсеке;</w:t>
      </w:r>
    </w:p>
    <w:p w14:paraId="7AEEDAB5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Патенттік кооперация туралы келісім шарт;</w:t>
      </w:r>
    </w:p>
    <w:p w14:paraId="6FF10041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РСТ рәсімінің басымдықтары. РСТ рәсімінің кемшіліктері;</w:t>
      </w:r>
      <w:r w:rsidRPr="00507111">
        <w:rPr>
          <w:rFonts w:ascii="Times New Roman" w:hAnsi="Times New Roman" w:cs="Times New Roman"/>
          <w:sz w:val="28"/>
          <w:szCs w:val="28"/>
        </w:rPr>
        <w:tab/>
      </w:r>
    </w:p>
    <w:p w14:paraId="1F96DC10" w14:textId="77777777" w:rsidR="00507111" w:rsidRP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Зияткерлік меншіктің бүкіләлемдік ұйымы (ЗМБҰ);</w:t>
      </w:r>
    </w:p>
    <w:p w14:paraId="01873E45" w14:textId="39F648AD" w:rsidR="00507111" w:rsidRDefault="00507111" w:rsidP="0050711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7111">
        <w:rPr>
          <w:rFonts w:ascii="Times New Roman" w:hAnsi="Times New Roman" w:cs="Times New Roman"/>
          <w:sz w:val="28"/>
          <w:szCs w:val="28"/>
        </w:rPr>
        <w:t>ЗМБҰ негізгі тұжырымдамасы. ЗМБҰ стандарты;</w:t>
      </w:r>
    </w:p>
    <w:sectPr w:rsidR="005071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0AC"/>
    <w:rsid w:val="00053170"/>
    <w:rsid w:val="00413896"/>
    <w:rsid w:val="00476A6A"/>
    <w:rsid w:val="00507111"/>
    <w:rsid w:val="009630AC"/>
    <w:rsid w:val="00E54288"/>
    <w:rsid w:val="00FE4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57229"/>
  <w15:chartTrackingRefBased/>
  <w15:docId w15:val="{B0FBCD42-BC80-43C1-8D65-006BC43E0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31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2021-01-25T15:10:00Z</dcterms:created>
  <dcterms:modified xsi:type="dcterms:W3CDTF">2021-01-25T15:25:00Z</dcterms:modified>
</cp:coreProperties>
</file>